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E509A8" w14:textId="77777777" w:rsidR="00993F28" w:rsidRDefault="00000000">
      <w:pPr>
        <w:spacing w:after="40"/>
      </w:pPr>
      <w:r>
        <w:rPr>
          <w:b/>
          <w:bCs/>
          <w:caps/>
          <w:color w:val="C08A22"/>
          <w:spacing w:val="40"/>
          <w:sz w:val="20"/>
          <w:szCs w:val="20"/>
        </w:rPr>
        <w:t>ELMORE GROUP</w:t>
      </w:r>
    </w:p>
    <w:p w14:paraId="1AB032FF" w14:textId="77777777" w:rsidR="00993F28" w:rsidRDefault="00000000">
      <w:pPr>
        <w:spacing w:after="60"/>
      </w:pPr>
      <w:r>
        <w:rPr>
          <w:rFonts w:ascii="Georgia" w:eastAsia="Georgia" w:hAnsi="Georgia" w:cs="Georgia"/>
          <w:b/>
          <w:bCs/>
          <w:color w:val="16343C"/>
          <w:sz w:val="40"/>
          <w:szCs w:val="40"/>
        </w:rPr>
        <w:t>THE BELONGING RESEARCH LIBRARY</w:t>
      </w:r>
    </w:p>
    <w:p w14:paraId="74A1269E" w14:textId="77777777" w:rsidR="00993F28" w:rsidRDefault="00000000">
      <w:pPr>
        <w:spacing w:after="100"/>
      </w:pPr>
      <w:r>
        <w:rPr>
          <w:rFonts w:ascii="Georgia" w:eastAsia="Georgia" w:hAnsi="Georgia" w:cs="Georgia"/>
          <w:i/>
          <w:iCs/>
          <w:color w:val="C08A22"/>
          <w:sz w:val="24"/>
          <w:szCs w:val="24"/>
        </w:rPr>
        <w:t>Eleven essential readings on the psychology, science, and workplace value of belonging</w:t>
      </w:r>
    </w:p>
    <w:p w14:paraId="65536E43" w14:textId="77777777" w:rsidR="00993F28" w:rsidRDefault="00000000">
      <w:pPr>
        <w:spacing w:after="200"/>
      </w:pPr>
      <w:r>
        <w:rPr>
          <w:color w:val="5A6B70"/>
          <w:sz w:val="20"/>
          <w:szCs w:val="20"/>
        </w:rPr>
        <w:t xml:space="preserve">Curated by Gaelin </w:t>
      </w:r>
      <w:proofErr w:type="gramStart"/>
      <w:r>
        <w:rPr>
          <w:color w:val="5A6B70"/>
          <w:sz w:val="20"/>
          <w:szCs w:val="20"/>
        </w:rPr>
        <w:t>Elmore  ·</w:t>
      </w:r>
      <w:proofErr w:type="gramEnd"/>
      <w:r>
        <w:rPr>
          <w:color w:val="5A6B70"/>
          <w:sz w:val="20"/>
          <w:szCs w:val="20"/>
        </w:rPr>
        <w:t xml:space="preserve">  gaelinelmore.com</w:t>
      </w:r>
    </w:p>
    <w:p w14:paraId="4CB9EBB6" w14:textId="77777777" w:rsidR="00993F28" w:rsidRDefault="00000000">
      <w:pPr>
        <w:spacing w:after="200"/>
      </w:pPr>
      <w:r>
        <w:rPr>
          <w:color w:val="222222"/>
        </w:rPr>
        <w:t>These are the studies and reports behind the frameworks you experienced in the room. They make the case that belonging is not a soft concept but a measurable driver of health, performance, and retention. Start anywhere. Share freely.</w:t>
      </w:r>
    </w:p>
    <w:p w14:paraId="13948A20" w14:textId="77777777" w:rsidR="00993F28" w:rsidRDefault="00000000">
      <w:pPr>
        <w:pBdr>
          <w:bottom w:val="single" w:sz="8" w:space="4" w:color="C08A22"/>
        </w:pBdr>
        <w:spacing w:before="360" w:after="120"/>
      </w:pPr>
      <w:r>
        <w:rPr>
          <w:rFonts w:ascii="Georgia" w:eastAsia="Georgia" w:hAnsi="Georgia" w:cs="Georgia"/>
          <w:b/>
          <w:bCs/>
          <w:caps/>
          <w:color w:val="16343C"/>
          <w:sz w:val="28"/>
          <w:szCs w:val="28"/>
        </w:rPr>
        <w:t>Start Here</w:t>
      </w:r>
    </w:p>
    <w:p w14:paraId="44839B68" w14:textId="77777777" w:rsidR="00993F28" w:rsidRDefault="00000000">
      <w:pPr>
        <w:spacing w:before="300" w:after="60"/>
      </w:pPr>
      <w:r>
        <w:rPr>
          <w:rFonts w:ascii="Georgia" w:eastAsia="Georgia" w:hAnsi="Georgia" w:cs="Georgia"/>
          <w:b/>
          <w:bCs/>
          <w:color w:val="C08A22"/>
          <w:sz w:val="26"/>
          <w:szCs w:val="26"/>
        </w:rPr>
        <w:t xml:space="preserve">1. </w:t>
      </w:r>
      <w:r>
        <w:rPr>
          <w:rFonts w:ascii="Georgia" w:eastAsia="Georgia" w:hAnsi="Georgia" w:cs="Georgia"/>
          <w:b/>
          <w:bCs/>
          <w:color w:val="16343C"/>
          <w:sz w:val="26"/>
          <w:szCs w:val="26"/>
        </w:rPr>
        <w:t>The Belonging Barometer: The State of Belonging in America</w:t>
      </w:r>
    </w:p>
    <w:p w14:paraId="07EDBDF3" w14:textId="77777777" w:rsidR="00993F28" w:rsidRDefault="00000000">
      <w:pPr>
        <w:spacing w:after="80"/>
      </w:pPr>
      <w:r>
        <w:rPr>
          <w:i/>
          <w:iCs/>
          <w:color w:val="5A6B70"/>
          <w:sz w:val="21"/>
          <w:szCs w:val="21"/>
        </w:rPr>
        <w:t>Over Zero &amp; the American Immigration Council · 2023, revised edition</w:t>
      </w:r>
    </w:p>
    <w:p w14:paraId="469CCC99" w14:textId="77777777" w:rsidR="00993F28" w:rsidRDefault="00000000">
      <w:pPr>
        <w:spacing w:after="80"/>
      </w:pPr>
      <w:r>
        <w:rPr>
          <w:color w:val="222222"/>
        </w:rPr>
        <w:t>The first national survey of belonging in the United States, built on a ten-question measure of emotional connection, psychological safety, and the ability to shape decisions. Two-thirds of Americans report feeling disconnected from their workplaces, communities, or the nation, and higher belonging scores predict better health, stronger civic life, and greater openness across difference. If you read only one thing on this list, read this.</w:t>
      </w:r>
    </w:p>
    <w:p w14:paraId="0861E1B4" w14:textId="77777777" w:rsidR="00993F28" w:rsidRDefault="00000000">
      <w:pPr>
        <w:spacing w:after="120"/>
      </w:pPr>
      <w:hyperlink r:id="rId5" w:history="1">
        <w:r>
          <w:rPr>
            <w:rStyle w:val="Hyperlink"/>
          </w:rPr>
          <w:t>Read it here</w:t>
        </w:r>
      </w:hyperlink>
      <w:r>
        <w:rPr>
          <w:color w:val="5A6B70"/>
          <w:sz w:val="18"/>
          <w:szCs w:val="18"/>
        </w:rPr>
        <w:t xml:space="preserve">  (www.americanimmigrationcouncil.org/report/the-belonging-barometer/)</w:t>
      </w:r>
    </w:p>
    <w:p w14:paraId="2E1C5AE2" w14:textId="77777777" w:rsidR="00993F28" w:rsidRDefault="00000000">
      <w:pPr>
        <w:pBdr>
          <w:bottom w:val="single" w:sz="8" w:space="4" w:color="C08A22"/>
        </w:pBdr>
        <w:spacing w:before="360" w:after="120"/>
      </w:pPr>
      <w:r>
        <w:rPr>
          <w:rFonts w:ascii="Georgia" w:eastAsia="Georgia" w:hAnsi="Georgia" w:cs="Georgia"/>
          <w:b/>
          <w:bCs/>
          <w:caps/>
          <w:color w:val="16343C"/>
          <w:sz w:val="28"/>
          <w:szCs w:val="28"/>
        </w:rPr>
        <w:t>The Psychology of Belonging</w:t>
      </w:r>
    </w:p>
    <w:p w14:paraId="10D75530" w14:textId="77777777" w:rsidR="00993F28" w:rsidRDefault="00000000">
      <w:pPr>
        <w:spacing w:before="300" w:after="60"/>
      </w:pPr>
      <w:r>
        <w:rPr>
          <w:rFonts w:ascii="Georgia" w:eastAsia="Georgia" w:hAnsi="Georgia" w:cs="Georgia"/>
          <w:b/>
          <w:bCs/>
          <w:color w:val="C08A22"/>
          <w:sz w:val="26"/>
          <w:szCs w:val="26"/>
        </w:rPr>
        <w:t xml:space="preserve">2. </w:t>
      </w:r>
      <w:r>
        <w:rPr>
          <w:rFonts w:ascii="Georgia" w:eastAsia="Georgia" w:hAnsi="Georgia" w:cs="Georgia"/>
          <w:b/>
          <w:bCs/>
          <w:color w:val="16343C"/>
          <w:sz w:val="26"/>
          <w:szCs w:val="26"/>
        </w:rPr>
        <w:t>The Need to Belong</w:t>
      </w:r>
    </w:p>
    <w:p w14:paraId="2FEBD80C" w14:textId="77777777" w:rsidR="00993F28" w:rsidRDefault="00000000">
      <w:pPr>
        <w:spacing w:after="80"/>
      </w:pPr>
      <w:r>
        <w:rPr>
          <w:i/>
          <w:iCs/>
          <w:color w:val="5A6B70"/>
          <w:sz w:val="21"/>
          <w:szCs w:val="21"/>
        </w:rPr>
        <w:t>Roy Baumeister &amp; Mark Leary · Psychological Bulletin, 1995</w:t>
      </w:r>
    </w:p>
    <w:p w14:paraId="05CC1463" w14:textId="77777777" w:rsidR="00993F28" w:rsidRDefault="00000000">
      <w:pPr>
        <w:spacing w:after="80"/>
      </w:pPr>
      <w:r>
        <w:rPr>
          <w:color w:val="222222"/>
        </w:rPr>
        <w:t>The foundational paper of the entire field. Baumeister and Leary argue that the drive to form and keep stable relationships is a fundamental human motivation, as basic as hunger, and that emotional and cognitive functioning measurably suffer when it goes unmet. Every serious conversation about belonging traces back to this paper.</w:t>
      </w:r>
    </w:p>
    <w:p w14:paraId="0136CD25" w14:textId="77777777" w:rsidR="00993F28" w:rsidRDefault="00000000">
      <w:pPr>
        <w:spacing w:after="120"/>
      </w:pPr>
      <w:hyperlink r:id="rId6" w:history="1">
        <w:r>
          <w:rPr>
            <w:rStyle w:val="Hyperlink"/>
          </w:rPr>
          <w:t>Read it here</w:t>
        </w:r>
      </w:hyperlink>
      <w:r>
        <w:rPr>
          <w:color w:val="5A6B70"/>
          <w:sz w:val="18"/>
          <w:szCs w:val="18"/>
        </w:rPr>
        <w:t xml:space="preserve">  (psycnet.apa.org/record/1995-29052-001)</w:t>
      </w:r>
    </w:p>
    <w:p w14:paraId="2E68BA3E" w14:textId="77777777" w:rsidR="00993F28" w:rsidRDefault="00000000">
      <w:pPr>
        <w:spacing w:before="300" w:after="60"/>
      </w:pPr>
      <w:r>
        <w:rPr>
          <w:rFonts w:ascii="Georgia" w:eastAsia="Georgia" w:hAnsi="Georgia" w:cs="Georgia"/>
          <w:b/>
          <w:bCs/>
          <w:color w:val="C08A22"/>
          <w:sz w:val="26"/>
          <w:szCs w:val="26"/>
        </w:rPr>
        <w:t xml:space="preserve">3. </w:t>
      </w:r>
      <w:r>
        <w:rPr>
          <w:rFonts w:ascii="Georgia" w:eastAsia="Georgia" w:hAnsi="Georgia" w:cs="Georgia"/>
          <w:b/>
          <w:bCs/>
          <w:color w:val="16343C"/>
          <w:sz w:val="26"/>
          <w:szCs w:val="26"/>
        </w:rPr>
        <w:t>A Brief Social-Belonging Intervention Improves Academic and Health Outcomes</w:t>
      </w:r>
    </w:p>
    <w:p w14:paraId="02BDA00A" w14:textId="77777777" w:rsidR="00993F28" w:rsidRDefault="00000000">
      <w:pPr>
        <w:spacing w:after="80"/>
      </w:pPr>
      <w:r>
        <w:rPr>
          <w:i/>
          <w:iCs/>
          <w:color w:val="5A6B70"/>
          <w:sz w:val="21"/>
          <w:szCs w:val="21"/>
        </w:rPr>
        <w:t>Gregory Walton &amp; Geoffrey Cohen · Science, 2011</w:t>
      </w:r>
    </w:p>
    <w:p w14:paraId="3FB1517F" w14:textId="77777777" w:rsidR="00993F28" w:rsidRDefault="00000000">
      <w:pPr>
        <w:spacing w:after="80"/>
      </w:pPr>
      <w:r>
        <w:rPr>
          <w:color w:val="222222"/>
        </w:rPr>
        <w:t>Proof that belonging can be changed, and that small shifts compound. A one-hour intervention that reframed early adversity as normal and temporary improved grades, health, and wellbeing for three full years. The lesson for leaders: how people interpret hard moments determines whether those moments erode belonging or build it.</w:t>
      </w:r>
    </w:p>
    <w:p w14:paraId="10905DA1" w14:textId="77777777" w:rsidR="00993F28" w:rsidRDefault="00000000">
      <w:pPr>
        <w:spacing w:after="120"/>
      </w:pPr>
      <w:hyperlink r:id="rId7" w:history="1">
        <w:r>
          <w:rPr>
            <w:rStyle w:val="Hyperlink"/>
          </w:rPr>
          <w:t>Read it here</w:t>
        </w:r>
      </w:hyperlink>
      <w:r>
        <w:rPr>
          <w:color w:val="5A6B70"/>
          <w:sz w:val="18"/>
          <w:szCs w:val="18"/>
        </w:rPr>
        <w:t xml:space="preserve">  (www.science.org/doi/10.1126/science.1198364)</w:t>
      </w:r>
    </w:p>
    <w:p w14:paraId="0D64AC2E" w14:textId="77777777" w:rsidR="00993F28" w:rsidRDefault="00000000">
      <w:pPr>
        <w:spacing w:before="300" w:after="60"/>
      </w:pPr>
      <w:r>
        <w:rPr>
          <w:rFonts w:ascii="Georgia" w:eastAsia="Georgia" w:hAnsi="Georgia" w:cs="Georgia"/>
          <w:b/>
          <w:bCs/>
          <w:color w:val="C08A22"/>
          <w:sz w:val="26"/>
          <w:szCs w:val="26"/>
        </w:rPr>
        <w:t xml:space="preserve">4. </w:t>
      </w:r>
      <w:r>
        <w:rPr>
          <w:rFonts w:ascii="Georgia" w:eastAsia="Georgia" w:hAnsi="Georgia" w:cs="Georgia"/>
          <w:b/>
          <w:bCs/>
          <w:color w:val="16343C"/>
          <w:sz w:val="26"/>
          <w:szCs w:val="26"/>
        </w:rPr>
        <w:t>The Belonging Meta-Framework</w:t>
      </w:r>
    </w:p>
    <w:p w14:paraId="6A2E0726" w14:textId="77777777" w:rsidR="00993F28" w:rsidRDefault="00000000">
      <w:pPr>
        <w:spacing w:after="80"/>
      </w:pPr>
      <w:r>
        <w:rPr>
          <w:i/>
          <w:iCs/>
          <w:color w:val="5A6B70"/>
          <w:sz w:val="21"/>
          <w:szCs w:val="21"/>
        </w:rPr>
        <w:t>Kelly-Ann Allen and colleagues · Australian Journal of Psychology, 2021</w:t>
      </w:r>
    </w:p>
    <w:p w14:paraId="02D51D9E" w14:textId="77777777" w:rsidR="00993F28" w:rsidRDefault="00000000">
      <w:pPr>
        <w:spacing w:after="80"/>
      </w:pPr>
      <w:r>
        <w:rPr>
          <w:color w:val="222222"/>
        </w:rPr>
        <w:t xml:space="preserve">The modern map of the field, published as Belonging: A Review of Conceptual Issues and an Integrative Framework, and widely cited as the meta-framework of belonging. Allen and colleagues pull decades of research into one model covering competencies, opportunities, motivation, and perceptions of belonging, </w:t>
      </w:r>
      <w:r>
        <w:rPr>
          <w:color w:val="222222"/>
        </w:rPr>
        <w:lastRenderedPageBreak/>
        <w:t>and they show how it predicts mental, physical, and economic outcomes. Open access, and the best single overview for anyone building belonging strategy.</w:t>
      </w:r>
    </w:p>
    <w:p w14:paraId="44DDDD96" w14:textId="77777777" w:rsidR="00993F28" w:rsidRDefault="00000000">
      <w:pPr>
        <w:spacing w:after="120"/>
      </w:pPr>
      <w:hyperlink r:id="rId8" w:history="1">
        <w:r>
          <w:rPr>
            <w:rStyle w:val="Hyperlink"/>
          </w:rPr>
          <w:t>Read it here</w:t>
        </w:r>
      </w:hyperlink>
      <w:r>
        <w:rPr>
          <w:color w:val="5A6B70"/>
          <w:sz w:val="18"/>
          <w:szCs w:val="18"/>
        </w:rPr>
        <w:t xml:space="preserve">  (www.tandfonline.com/doi/full/10.1080/00049530.2021.1883409)</w:t>
      </w:r>
    </w:p>
    <w:p w14:paraId="0E8A9D43" w14:textId="77777777" w:rsidR="00993F28" w:rsidRDefault="00000000">
      <w:pPr>
        <w:pBdr>
          <w:bottom w:val="single" w:sz="8" w:space="4" w:color="C08A22"/>
        </w:pBdr>
        <w:spacing w:before="360" w:after="120"/>
      </w:pPr>
      <w:r>
        <w:rPr>
          <w:rFonts w:ascii="Georgia" w:eastAsia="Georgia" w:hAnsi="Georgia" w:cs="Georgia"/>
          <w:b/>
          <w:bCs/>
          <w:caps/>
          <w:color w:val="16343C"/>
          <w:sz w:val="28"/>
          <w:szCs w:val="28"/>
        </w:rPr>
        <w:t>The Science of Belonging</w:t>
      </w:r>
    </w:p>
    <w:p w14:paraId="76BFCEAE" w14:textId="77777777" w:rsidR="00993F28" w:rsidRDefault="00000000">
      <w:pPr>
        <w:spacing w:before="300" w:after="60"/>
      </w:pPr>
      <w:r>
        <w:rPr>
          <w:rFonts w:ascii="Georgia" w:eastAsia="Georgia" w:hAnsi="Georgia" w:cs="Georgia"/>
          <w:b/>
          <w:bCs/>
          <w:color w:val="C08A22"/>
          <w:sz w:val="26"/>
          <w:szCs w:val="26"/>
        </w:rPr>
        <w:t xml:space="preserve">5. </w:t>
      </w:r>
      <w:r>
        <w:rPr>
          <w:rFonts w:ascii="Georgia" w:eastAsia="Georgia" w:hAnsi="Georgia" w:cs="Georgia"/>
          <w:b/>
          <w:bCs/>
          <w:color w:val="16343C"/>
          <w:sz w:val="26"/>
          <w:szCs w:val="26"/>
        </w:rPr>
        <w:t>Social Relationships and Mortality Risk: A Meta-Analytic Review</w:t>
      </w:r>
    </w:p>
    <w:p w14:paraId="3768E405" w14:textId="77777777" w:rsidR="00993F28" w:rsidRDefault="00000000">
      <w:pPr>
        <w:spacing w:after="80"/>
      </w:pPr>
      <w:r>
        <w:rPr>
          <w:i/>
          <w:iCs/>
          <w:color w:val="5A6B70"/>
          <w:sz w:val="21"/>
          <w:szCs w:val="21"/>
        </w:rPr>
        <w:t>Julianne Holt-Lunstad, Timothy Smith &amp; Bradley Layton · PLOS Medicine, 2010</w:t>
      </w:r>
    </w:p>
    <w:p w14:paraId="4E006291" w14:textId="77777777" w:rsidR="00993F28" w:rsidRDefault="00000000">
      <w:pPr>
        <w:spacing w:after="80"/>
      </w:pPr>
      <w:r>
        <w:rPr>
          <w:color w:val="222222"/>
        </w:rPr>
        <w:t>The study behind the famous claim that disconnection rivals smoking as a health risk. Across 148 studies and more than 300,000 people, stronger social relationships predicted a 50% increase in survival odds. Belonging is not a perk. It is a biological need with life-and-death stakes.</w:t>
      </w:r>
    </w:p>
    <w:p w14:paraId="7FD22AD7" w14:textId="77777777" w:rsidR="00993F28" w:rsidRDefault="00000000">
      <w:pPr>
        <w:spacing w:after="120"/>
      </w:pPr>
      <w:hyperlink r:id="rId9" w:history="1">
        <w:r>
          <w:rPr>
            <w:rStyle w:val="Hyperlink"/>
          </w:rPr>
          <w:t>Read it here</w:t>
        </w:r>
      </w:hyperlink>
      <w:r>
        <w:rPr>
          <w:color w:val="5A6B70"/>
          <w:sz w:val="18"/>
          <w:szCs w:val="18"/>
        </w:rPr>
        <w:t xml:space="preserve">  (journals.plos.org/plosmedicine/article?id=10.1371/journal.pmed.1000316)</w:t>
      </w:r>
    </w:p>
    <w:p w14:paraId="3CC275F6" w14:textId="77777777" w:rsidR="00993F28" w:rsidRDefault="00000000">
      <w:pPr>
        <w:spacing w:before="300" w:after="60"/>
      </w:pPr>
      <w:r>
        <w:rPr>
          <w:rFonts w:ascii="Georgia" w:eastAsia="Georgia" w:hAnsi="Georgia" w:cs="Georgia"/>
          <w:b/>
          <w:bCs/>
          <w:color w:val="C08A22"/>
          <w:sz w:val="26"/>
          <w:szCs w:val="26"/>
        </w:rPr>
        <w:t xml:space="preserve">6. </w:t>
      </w:r>
      <w:r>
        <w:rPr>
          <w:rFonts w:ascii="Georgia" w:eastAsia="Georgia" w:hAnsi="Georgia" w:cs="Georgia"/>
          <w:b/>
          <w:bCs/>
          <w:color w:val="16343C"/>
          <w:sz w:val="26"/>
          <w:szCs w:val="26"/>
        </w:rPr>
        <w:t>Our Epidemic of Loneliness and Isolation</w:t>
      </w:r>
    </w:p>
    <w:p w14:paraId="0B3441F3" w14:textId="77777777" w:rsidR="00993F28" w:rsidRDefault="00000000">
      <w:pPr>
        <w:spacing w:after="80"/>
      </w:pPr>
      <w:r>
        <w:rPr>
          <w:i/>
          <w:iCs/>
          <w:color w:val="5A6B70"/>
          <w:sz w:val="21"/>
          <w:szCs w:val="21"/>
        </w:rPr>
        <w:t>U.S. Surgeon General's Advisory · 2023</w:t>
      </w:r>
    </w:p>
    <w:p w14:paraId="6ED2CA1C" w14:textId="77777777" w:rsidR="00993F28" w:rsidRDefault="00000000">
      <w:pPr>
        <w:spacing w:after="80"/>
      </w:pPr>
      <w:r>
        <w:rPr>
          <w:color w:val="222222"/>
        </w:rPr>
        <w:t>The moment belonging became national public-health policy. The Surgeon General names loneliness an epidemic, documents its costs, and explicitly calls on workplaces to act. For public-sector and human-services leaders, this is the document that makes belonging a mandate rather than an initiative.</w:t>
      </w:r>
    </w:p>
    <w:p w14:paraId="27A09546" w14:textId="77777777" w:rsidR="00993F28" w:rsidRDefault="00000000">
      <w:pPr>
        <w:spacing w:after="120"/>
      </w:pPr>
      <w:hyperlink r:id="rId10" w:history="1">
        <w:r>
          <w:rPr>
            <w:rStyle w:val="Hyperlink"/>
          </w:rPr>
          <w:t>Read it here</w:t>
        </w:r>
      </w:hyperlink>
      <w:r>
        <w:rPr>
          <w:color w:val="5A6B70"/>
          <w:sz w:val="18"/>
          <w:szCs w:val="18"/>
        </w:rPr>
        <w:t xml:space="preserve">  (www.hhs.gov/sites/default/files/surgeon-general-social-connection-advisory.pdf)</w:t>
      </w:r>
    </w:p>
    <w:p w14:paraId="568B7712" w14:textId="77777777" w:rsidR="00993F28" w:rsidRDefault="00000000">
      <w:pPr>
        <w:spacing w:before="300" w:after="60"/>
      </w:pPr>
      <w:r>
        <w:rPr>
          <w:rFonts w:ascii="Georgia" w:eastAsia="Georgia" w:hAnsi="Georgia" w:cs="Georgia"/>
          <w:b/>
          <w:bCs/>
          <w:color w:val="C08A22"/>
          <w:sz w:val="26"/>
          <w:szCs w:val="26"/>
        </w:rPr>
        <w:t xml:space="preserve">7. </w:t>
      </w:r>
      <w:r>
        <w:rPr>
          <w:rFonts w:ascii="Georgia" w:eastAsia="Georgia" w:hAnsi="Georgia" w:cs="Georgia"/>
          <w:b/>
          <w:bCs/>
          <w:color w:val="16343C"/>
          <w:sz w:val="26"/>
          <w:szCs w:val="26"/>
        </w:rPr>
        <w:t>Psychological Safety and Learning Behavior in Work Teams</w:t>
      </w:r>
    </w:p>
    <w:p w14:paraId="3F63C2CF" w14:textId="77777777" w:rsidR="00993F28" w:rsidRDefault="00000000">
      <w:pPr>
        <w:spacing w:after="80"/>
      </w:pPr>
      <w:r>
        <w:rPr>
          <w:i/>
          <w:iCs/>
          <w:color w:val="5A6B70"/>
          <w:sz w:val="21"/>
          <w:szCs w:val="21"/>
        </w:rPr>
        <w:t>Amy Edmondson · Administrative Science Quarterly, 1999</w:t>
      </w:r>
    </w:p>
    <w:p w14:paraId="71354DCC" w14:textId="77777777" w:rsidR="00993F28" w:rsidRDefault="00000000">
      <w:pPr>
        <w:spacing w:after="80"/>
      </w:pPr>
      <w:r>
        <w:rPr>
          <w:color w:val="222222"/>
        </w:rPr>
        <w:t>The paper that coined psychological safety, defined as the shared belief that a team is safe for interpersonal risk-taking. Edmondson showed that teams only learn when speaking up feels safe: asking questions, admitting mistakes, and improving all depend on it. Safety is the precondition. Belonging is what grows in it.</w:t>
      </w:r>
    </w:p>
    <w:p w14:paraId="24F679B5" w14:textId="77777777" w:rsidR="00993F28" w:rsidRDefault="00000000">
      <w:pPr>
        <w:spacing w:after="120"/>
      </w:pPr>
      <w:hyperlink r:id="rId11" w:history="1">
        <w:r>
          <w:rPr>
            <w:rStyle w:val="Hyperlink"/>
          </w:rPr>
          <w:t>Read it here</w:t>
        </w:r>
      </w:hyperlink>
      <w:r>
        <w:rPr>
          <w:color w:val="5A6B70"/>
          <w:sz w:val="18"/>
          <w:szCs w:val="18"/>
        </w:rPr>
        <w:t xml:space="preserve">  (journals.sagepub.com/</w:t>
      </w:r>
      <w:proofErr w:type="spellStart"/>
      <w:r>
        <w:rPr>
          <w:color w:val="5A6B70"/>
          <w:sz w:val="18"/>
          <w:szCs w:val="18"/>
        </w:rPr>
        <w:t>doi</w:t>
      </w:r>
      <w:proofErr w:type="spellEnd"/>
      <w:r>
        <w:rPr>
          <w:color w:val="5A6B70"/>
          <w:sz w:val="18"/>
          <w:szCs w:val="18"/>
        </w:rPr>
        <w:t>/10.2307/2666999)</w:t>
      </w:r>
    </w:p>
    <w:p w14:paraId="1EA7CC21" w14:textId="77777777" w:rsidR="00993F28" w:rsidRDefault="00000000">
      <w:pPr>
        <w:pBdr>
          <w:bottom w:val="single" w:sz="8" w:space="4" w:color="C08A22"/>
        </w:pBdr>
        <w:spacing w:before="360" w:after="120"/>
      </w:pPr>
      <w:r>
        <w:rPr>
          <w:rFonts w:ascii="Georgia" w:eastAsia="Georgia" w:hAnsi="Georgia" w:cs="Georgia"/>
          <w:b/>
          <w:bCs/>
          <w:caps/>
          <w:color w:val="16343C"/>
          <w:sz w:val="28"/>
          <w:szCs w:val="28"/>
        </w:rPr>
        <w:t>The Value of Belonging at Work</w:t>
      </w:r>
    </w:p>
    <w:p w14:paraId="264ECA62" w14:textId="77777777" w:rsidR="00993F28" w:rsidRDefault="00000000">
      <w:pPr>
        <w:spacing w:before="300" w:after="60"/>
      </w:pPr>
      <w:r>
        <w:rPr>
          <w:rFonts w:ascii="Georgia" w:eastAsia="Georgia" w:hAnsi="Georgia" w:cs="Georgia"/>
          <w:b/>
          <w:bCs/>
          <w:color w:val="C08A22"/>
          <w:sz w:val="26"/>
          <w:szCs w:val="26"/>
        </w:rPr>
        <w:t xml:space="preserve">8. </w:t>
      </w:r>
      <w:r>
        <w:rPr>
          <w:rFonts w:ascii="Georgia" w:eastAsia="Georgia" w:hAnsi="Georgia" w:cs="Georgia"/>
          <w:b/>
          <w:bCs/>
          <w:color w:val="16343C"/>
          <w:sz w:val="26"/>
          <w:szCs w:val="26"/>
        </w:rPr>
        <w:t>The Value of Belonging at Work</w:t>
      </w:r>
    </w:p>
    <w:p w14:paraId="37B6D483" w14:textId="77777777" w:rsidR="00993F28" w:rsidRDefault="00000000">
      <w:pPr>
        <w:spacing w:after="80"/>
      </w:pPr>
      <w:r>
        <w:rPr>
          <w:i/>
          <w:iCs/>
          <w:color w:val="5A6B70"/>
          <w:sz w:val="21"/>
          <w:szCs w:val="21"/>
        </w:rPr>
        <w:t>Evan Carr, Andrew Reece, Gabriella Rosen Kellerman &amp; Alexi Robichaux · Harvard Business Review, 2019</w:t>
      </w:r>
    </w:p>
    <w:p w14:paraId="7C03874B" w14:textId="77777777" w:rsidR="00993F28" w:rsidRDefault="00000000">
      <w:pPr>
        <w:spacing w:after="80"/>
      </w:pPr>
      <w:r>
        <w:rPr>
          <w:color w:val="222222"/>
        </w:rPr>
        <w:t>The business case in one article. High belonging was linked to a 56% increase in job performance, a 50% drop in turnover risk, and 75% fewer sick days. The authors also show why exclusion is so costly and what allies can do about it. These are the numbers I share from stage.</w:t>
      </w:r>
    </w:p>
    <w:p w14:paraId="2E6A430E" w14:textId="77777777" w:rsidR="00993F28" w:rsidRDefault="00000000">
      <w:pPr>
        <w:spacing w:after="120"/>
      </w:pPr>
      <w:hyperlink r:id="rId12" w:history="1">
        <w:r>
          <w:rPr>
            <w:rStyle w:val="Hyperlink"/>
          </w:rPr>
          <w:t>Read it here</w:t>
        </w:r>
      </w:hyperlink>
      <w:r>
        <w:rPr>
          <w:color w:val="5A6B70"/>
          <w:sz w:val="18"/>
          <w:szCs w:val="18"/>
        </w:rPr>
        <w:t xml:space="preserve">  (hbr.org/2019/12/the-value-of-belonging-at-work)</w:t>
      </w:r>
    </w:p>
    <w:p w14:paraId="3D9B3ED6" w14:textId="77777777" w:rsidR="00993F28" w:rsidRDefault="00000000">
      <w:pPr>
        <w:spacing w:before="300" w:after="60"/>
      </w:pPr>
      <w:r>
        <w:rPr>
          <w:rFonts w:ascii="Georgia" w:eastAsia="Georgia" w:hAnsi="Georgia" w:cs="Georgia"/>
          <w:b/>
          <w:bCs/>
          <w:color w:val="C08A22"/>
          <w:sz w:val="26"/>
          <w:szCs w:val="26"/>
        </w:rPr>
        <w:t xml:space="preserve">9. </w:t>
      </w:r>
      <w:r>
        <w:rPr>
          <w:rFonts w:ascii="Georgia" w:eastAsia="Georgia" w:hAnsi="Georgia" w:cs="Georgia"/>
          <w:b/>
          <w:bCs/>
          <w:color w:val="16343C"/>
          <w:sz w:val="26"/>
          <w:szCs w:val="26"/>
        </w:rPr>
        <w:t>The Value of Belonging at Work: The Business Case for Investing in Workplace Inclusion</w:t>
      </w:r>
    </w:p>
    <w:p w14:paraId="07C66DEA" w14:textId="77777777" w:rsidR="00993F28" w:rsidRDefault="00000000">
      <w:pPr>
        <w:spacing w:after="80"/>
      </w:pPr>
      <w:proofErr w:type="spellStart"/>
      <w:r>
        <w:rPr>
          <w:i/>
          <w:iCs/>
          <w:color w:val="5A6B70"/>
          <w:sz w:val="21"/>
          <w:szCs w:val="21"/>
        </w:rPr>
        <w:t>BetterUp</w:t>
      </w:r>
      <w:proofErr w:type="spellEnd"/>
      <w:r>
        <w:rPr>
          <w:i/>
          <w:iCs/>
          <w:color w:val="5A6B70"/>
          <w:sz w:val="21"/>
          <w:szCs w:val="21"/>
        </w:rPr>
        <w:t xml:space="preserve"> Labs · Full research report, 2019</w:t>
      </w:r>
    </w:p>
    <w:p w14:paraId="62735923" w14:textId="77777777" w:rsidR="00993F28" w:rsidRDefault="00000000">
      <w:pPr>
        <w:spacing w:after="80"/>
      </w:pPr>
      <w:r>
        <w:rPr>
          <w:color w:val="222222"/>
        </w:rPr>
        <w:t>The full study behind the Harvard Business Review article: surveys of 1,789 employees plus live exclusion experiments with thousands of participants, along with five research-based interventions for building belonging. Read this when you want the methodology, not just the headline.</w:t>
      </w:r>
    </w:p>
    <w:p w14:paraId="7E2F7737" w14:textId="77777777" w:rsidR="00993F28" w:rsidRDefault="00000000">
      <w:pPr>
        <w:spacing w:after="120"/>
      </w:pPr>
      <w:hyperlink r:id="rId13" w:history="1">
        <w:r>
          <w:rPr>
            <w:rStyle w:val="Hyperlink"/>
          </w:rPr>
          <w:t>Read it here</w:t>
        </w:r>
      </w:hyperlink>
      <w:r>
        <w:rPr>
          <w:color w:val="5A6B70"/>
          <w:sz w:val="18"/>
          <w:szCs w:val="18"/>
        </w:rPr>
        <w:t xml:space="preserve">  (grow.betterup.com/resources/the-value-of-belonging-at-work-the-business-case-for-investing-in-workplace-inclusion)</w:t>
      </w:r>
    </w:p>
    <w:p w14:paraId="7DFD8192" w14:textId="77777777" w:rsidR="00993F28" w:rsidRDefault="00000000">
      <w:pPr>
        <w:spacing w:before="300" w:after="60"/>
      </w:pPr>
      <w:r>
        <w:rPr>
          <w:rFonts w:ascii="Georgia" w:eastAsia="Georgia" w:hAnsi="Georgia" w:cs="Georgia"/>
          <w:b/>
          <w:bCs/>
          <w:color w:val="C08A22"/>
          <w:sz w:val="26"/>
          <w:szCs w:val="26"/>
        </w:rPr>
        <w:t xml:space="preserve">10. </w:t>
      </w:r>
      <w:r>
        <w:rPr>
          <w:rFonts w:ascii="Georgia" w:eastAsia="Georgia" w:hAnsi="Georgia" w:cs="Georgia"/>
          <w:b/>
          <w:bCs/>
          <w:color w:val="16343C"/>
          <w:sz w:val="26"/>
          <w:szCs w:val="26"/>
        </w:rPr>
        <w:t>Belonging: From Comfort to Connection to Contribution</w:t>
      </w:r>
    </w:p>
    <w:p w14:paraId="0160C357" w14:textId="77777777" w:rsidR="00993F28" w:rsidRDefault="00000000">
      <w:pPr>
        <w:spacing w:after="80"/>
      </w:pPr>
      <w:r>
        <w:rPr>
          <w:i/>
          <w:iCs/>
          <w:color w:val="5A6B70"/>
          <w:sz w:val="21"/>
          <w:szCs w:val="21"/>
        </w:rPr>
        <w:t>Deloitte Global Human Capital Trends · 2020</w:t>
      </w:r>
    </w:p>
    <w:p w14:paraId="78329979" w14:textId="77777777" w:rsidR="00993F28" w:rsidRDefault="00000000">
      <w:pPr>
        <w:spacing w:after="80"/>
      </w:pPr>
      <w:r>
        <w:rPr>
          <w:color w:val="222222"/>
        </w:rPr>
        <w:t>In Deloitte's global survey, 93% of organizations agreed that belonging drives performance, a near-record consensus, while only 13% felt ready to act on it. The progression from comfort to connection to contribution gives executives a shared vocabulary for moving belonging from HR topic to operating strategy.</w:t>
      </w:r>
    </w:p>
    <w:p w14:paraId="4836B1FE" w14:textId="77777777" w:rsidR="00993F28" w:rsidRDefault="00000000">
      <w:pPr>
        <w:spacing w:after="120"/>
      </w:pPr>
      <w:hyperlink r:id="rId14" w:history="1">
        <w:r>
          <w:rPr>
            <w:rStyle w:val="Hyperlink"/>
          </w:rPr>
          <w:t>Read it here</w:t>
        </w:r>
      </w:hyperlink>
      <w:r>
        <w:rPr>
          <w:color w:val="5A6B70"/>
          <w:sz w:val="18"/>
          <w:szCs w:val="18"/>
        </w:rPr>
        <w:t xml:space="preserve">  (www.deloitte.com/us/en/insights/topics/talent/human-capital-trends/2020/creating-a-culture-of-belonging.html)</w:t>
      </w:r>
    </w:p>
    <w:p w14:paraId="75572607" w14:textId="77777777" w:rsidR="00993F28" w:rsidRDefault="00000000">
      <w:pPr>
        <w:spacing w:before="300" w:after="60"/>
      </w:pPr>
      <w:r>
        <w:rPr>
          <w:rFonts w:ascii="Georgia" w:eastAsia="Georgia" w:hAnsi="Georgia" w:cs="Georgia"/>
          <w:b/>
          <w:bCs/>
          <w:color w:val="C08A22"/>
          <w:sz w:val="26"/>
          <w:szCs w:val="26"/>
        </w:rPr>
        <w:t xml:space="preserve">11. </w:t>
      </w:r>
      <w:r>
        <w:rPr>
          <w:rFonts w:ascii="Georgia" w:eastAsia="Georgia" w:hAnsi="Georgia" w:cs="Georgia"/>
          <w:b/>
          <w:bCs/>
          <w:color w:val="16343C"/>
          <w:sz w:val="26"/>
          <w:szCs w:val="26"/>
        </w:rPr>
        <w:t>Understand Team Effectiveness (Project Aristotle)</w:t>
      </w:r>
    </w:p>
    <w:p w14:paraId="2B5AC2B2" w14:textId="77777777" w:rsidR="00993F28" w:rsidRDefault="00000000">
      <w:pPr>
        <w:spacing w:after="80"/>
      </w:pPr>
      <w:r>
        <w:rPr>
          <w:i/>
          <w:iCs/>
          <w:color w:val="5A6B70"/>
          <w:sz w:val="21"/>
          <w:szCs w:val="21"/>
        </w:rPr>
        <w:t xml:space="preserve">Google </w:t>
      </w:r>
      <w:proofErr w:type="spellStart"/>
      <w:proofErr w:type="gramStart"/>
      <w:r>
        <w:rPr>
          <w:i/>
          <w:iCs/>
          <w:color w:val="5A6B70"/>
          <w:sz w:val="21"/>
          <w:szCs w:val="21"/>
        </w:rPr>
        <w:t>re:Work</w:t>
      </w:r>
      <w:proofErr w:type="spellEnd"/>
      <w:proofErr w:type="gramEnd"/>
      <w:r>
        <w:rPr>
          <w:i/>
          <w:iCs/>
          <w:color w:val="5A6B70"/>
          <w:sz w:val="21"/>
          <w:szCs w:val="21"/>
        </w:rPr>
        <w:t xml:space="preserve"> · research guide</w:t>
      </w:r>
    </w:p>
    <w:p w14:paraId="53EBEC92" w14:textId="77777777" w:rsidR="00993F28" w:rsidRDefault="00000000">
      <w:pPr>
        <w:spacing w:after="80"/>
      </w:pPr>
      <w:r>
        <w:rPr>
          <w:color w:val="222222"/>
        </w:rPr>
        <w:t xml:space="preserve">Google studied 180 of its own teams to find what separates the </w:t>
      </w:r>
      <w:proofErr w:type="gramStart"/>
      <w:r>
        <w:rPr>
          <w:color w:val="222222"/>
        </w:rPr>
        <w:t>best, and</w:t>
      </w:r>
      <w:proofErr w:type="gramEnd"/>
      <w:r>
        <w:rPr>
          <w:color w:val="222222"/>
        </w:rPr>
        <w:t xml:space="preserve"> discovered that who is on a team matters less than how the team treats each other. Psychological safety topped every other factor. This is a practical, manager-friendly guide with discussion tools you can use with your team this week.</w:t>
      </w:r>
    </w:p>
    <w:p w14:paraId="1CDF88F0" w14:textId="77777777" w:rsidR="00993F28" w:rsidRDefault="00000000">
      <w:pPr>
        <w:spacing w:after="120"/>
      </w:pPr>
      <w:hyperlink r:id="rId15" w:history="1">
        <w:r>
          <w:rPr>
            <w:rStyle w:val="Hyperlink"/>
          </w:rPr>
          <w:t>Read it here</w:t>
        </w:r>
      </w:hyperlink>
      <w:r>
        <w:rPr>
          <w:color w:val="5A6B70"/>
          <w:sz w:val="18"/>
          <w:szCs w:val="18"/>
        </w:rPr>
        <w:t xml:space="preserve">  (rework.withgoogle.com/intl/en/guides/understand-team-effectiveness)</w:t>
      </w:r>
    </w:p>
    <w:p w14:paraId="4695283E" w14:textId="77777777" w:rsidR="00993F28" w:rsidRDefault="00000000">
      <w:pPr>
        <w:pBdr>
          <w:top w:val="single" w:sz="8" w:space="8" w:color="C08A22"/>
        </w:pBdr>
        <w:spacing w:before="400"/>
      </w:pPr>
      <w:r>
        <w:rPr>
          <w:i/>
          <w:iCs/>
          <w:color w:val="5A6B70"/>
          <w:sz w:val="20"/>
          <w:szCs w:val="20"/>
        </w:rPr>
        <w:t xml:space="preserve">Want to know where belonging stands in your organization? The Belonging Assessment turns it into a number your leadership team can act on.  Elmore </w:t>
      </w:r>
      <w:proofErr w:type="gramStart"/>
      <w:r>
        <w:rPr>
          <w:i/>
          <w:iCs/>
          <w:color w:val="5A6B70"/>
          <w:sz w:val="20"/>
          <w:szCs w:val="20"/>
        </w:rPr>
        <w:t>Group  ·</w:t>
      </w:r>
      <w:proofErr w:type="gramEnd"/>
      <w:r>
        <w:rPr>
          <w:i/>
          <w:iCs/>
          <w:color w:val="5A6B70"/>
          <w:sz w:val="20"/>
          <w:szCs w:val="20"/>
        </w:rPr>
        <w:t xml:space="preserve">  gaelinelmore.com</w:t>
      </w:r>
    </w:p>
    <w:sectPr w:rsidR="00993F28">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80F58E3"/>
    <w:multiLevelType w:val="hybridMultilevel"/>
    <w:tmpl w:val="9B848BB0"/>
    <w:lvl w:ilvl="0" w:tplc="4782C322">
      <w:start w:val="1"/>
      <w:numFmt w:val="bullet"/>
      <w:lvlText w:val="●"/>
      <w:lvlJc w:val="left"/>
      <w:pPr>
        <w:ind w:left="720" w:hanging="360"/>
      </w:pPr>
    </w:lvl>
    <w:lvl w:ilvl="1" w:tplc="95DC9332">
      <w:start w:val="1"/>
      <w:numFmt w:val="bullet"/>
      <w:lvlText w:val="○"/>
      <w:lvlJc w:val="left"/>
      <w:pPr>
        <w:ind w:left="1440" w:hanging="360"/>
      </w:pPr>
    </w:lvl>
    <w:lvl w:ilvl="2" w:tplc="480A1CAE">
      <w:start w:val="1"/>
      <w:numFmt w:val="bullet"/>
      <w:lvlText w:val="■"/>
      <w:lvlJc w:val="left"/>
      <w:pPr>
        <w:ind w:left="2160" w:hanging="360"/>
      </w:pPr>
    </w:lvl>
    <w:lvl w:ilvl="3" w:tplc="9370931E">
      <w:start w:val="1"/>
      <w:numFmt w:val="bullet"/>
      <w:lvlText w:val="●"/>
      <w:lvlJc w:val="left"/>
      <w:pPr>
        <w:ind w:left="2880" w:hanging="360"/>
      </w:pPr>
    </w:lvl>
    <w:lvl w:ilvl="4" w:tplc="57DAB906">
      <w:start w:val="1"/>
      <w:numFmt w:val="bullet"/>
      <w:lvlText w:val="○"/>
      <w:lvlJc w:val="left"/>
      <w:pPr>
        <w:ind w:left="3600" w:hanging="360"/>
      </w:pPr>
    </w:lvl>
    <w:lvl w:ilvl="5" w:tplc="8C7A89F4">
      <w:start w:val="1"/>
      <w:numFmt w:val="bullet"/>
      <w:lvlText w:val="■"/>
      <w:lvlJc w:val="left"/>
      <w:pPr>
        <w:ind w:left="4320" w:hanging="360"/>
      </w:pPr>
    </w:lvl>
    <w:lvl w:ilvl="6" w:tplc="C944E0A8">
      <w:start w:val="1"/>
      <w:numFmt w:val="bullet"/>
      <w:lvlText w:val="●"/>
      <w:lvlJc w:val="left"/>
      <w:pPr>
        <w:ind w:left="5040" w:hanging="360"/>
      </w:pPr>
    </w:lvl>
    <w:lvl w:ilvl="7" w:tplc="4168BA38">
      <w:start w:val="1"/>
      <w:numFmt w:val="bullet"/>
      <w:lvlText w:val="●"/>
      <w:lvlJc w:val="left"/>
      <w:pPr>
        <w:ind w:left="5760" w:hanging="360"/>
      </w:pPr>
    </w:lvl>
    <w:lvl w:ilvl="8" w:tplc="8458AA7C">
      <w:start w:val="1"/>
      <w:numFmt w:val="bullet"/>
      <w:lvlText w:val="●"/>
      <w:lvlJc w:val="left"/>
      <w:pPr>
        <w:ind w:left="6480" w:hanging="360"/>
      </w:pPr>
    </w:lvl>
  </w:abstractNum>
  <w:num w:numId="1" w16cid:durableId="1646006920">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7"/>
  <w:doNotDisplayPageBoundaries/>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F28"/>
    <w:rsid w:val="00353B82"/>
    <w:rsid w:val="00993F28"/>
    <w:rsid w:val="00B80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BD3BC2"/>
  <w15:docId w15:val="{1965C249-F7E4-BD4D-A7E6-CE91261C8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tandfonline.com/doi/full/10.1080/00049530.2021.1883409" TargetMode="External"/><Relationship Id="rId13" Type="http://schemas.openxmlformats.org/officeDocument/2006/relationships/hyperlink" Target="https://grow.betterup.com/resources/the-value-of-belonging-at-work-the-business-case-for-investing-in-workplace-inclusion" TargetMode="External"/><Relationship Id="rId3" Type="http://schemas.openxmlformats.org/officeDocument/2006/relationships/settings" Target="settings.xml"/><Relationship Id="rId7" Type="http://schemas.openxmlformats.org/officeDocument/2006/relationships/hyperlink" Target="https://www.science.org/doi/10.1126/science.1198364" TargetMode="External"/><Relationship Id="rId12" Type="http://schemas.openxmlformats.org/officeDocument/2006/relationships/hyperlink" Target="https://hbr.org/2019/12/the-value-of-belonging-at-wor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sycnet.apa.org/record/1995-29052-001" TargetMode="External"/><Relationship Id="rId11" Type="http://schemas.openxmlformats.org/officeDocument/2006/relationships/hyperlink" Target="https://journals.sagepub.com/doi/10.2307/2666999" TargetMode="External"/><Relationship Id="rId5" Type="http://schemas.openxmlformats.org/officeDocument/2006/relationships/hyperlink" Target="https://www.americanimmigrationcouncil.org/report/the-belonging-barometer/" TargetMode="External"/><Relationship Id="rId15" Type="http://schemas.openxmlformats.org/officeDocument/2006/relationships/hyperlink" Target="https://rework.withgoogle.com/intl/en/guides/understand-team-effectiveness" TargetMode="External"/><Relationship Id="rId10" Type="http://schemas.openxmlformats.org/officeDocument/2006/relationships/hyperlink" Target="https://www.hhs.gov/sites/default/files/surgeon-general-social-connection-advisory.pdf" TargetMode="External"/><Relationship Id="rId4" Type="http://schemas.openxmlformats.org/officeDocument/2006/relationships/webSettings" Target="webSettings.xml"/><Relationship Id="rId9" Type="http://schemas.openxmlformats.org/officeDocument/2006/relationships/hyperlink" Target="https://journals.plos.org/plosmedicine/article?id=10.1371/journal.pmed.1000316" TargetMode="External"/><Relationship Id="rId14" Type="http://schemas.openxmlformats.org/officeDocument/2006/relationships/hyperlink" Target="https://www.deloitte.com/us/en/insights/topics/talent/human-capital-trends/2020/creating-a-culture-of-belong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1114</Words>
  <Characters>6352</Characters>
  <Application>Microsoft Office Word</Application>
  <DocSecurity>0</DocSecurity>
  <Lines>52</Lines>
  <Paragraphs>14</Paragraphs>
  <ScaleCrop>false</ScaleCrop>
  <Company/>
  <LinksUpToDate>false</LinksUpToDate>
  <CharactersWithSpaces>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Belonging Research Library</dc:title>
  <dc:creator>Elmore Group</dc:creator>
  <dc:description>Eleven essential readings on the psychology, science, and workplace value of belonging.</dc:description>
  <cp:lastModifiedBy>The Elmore's</cp:lastModifiedBy>
  <cp:revision>2</cp:revision>
  <dcterms:created xsi:type="dcterms:W3CDTF">2026-07-31T17:42:00Z</dcterms:created>
  <dcterms:modified xsi:type="dcterms:W3CDTF">2026-07-31T17:42:00Z</dcterms:modified>
</cp:coreProperties>
</file>